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0BBE0" w14:textId="77777777" w:rsidR="00FA1E58" w:rsidRDefault="00FE3835" w:rsidP="00FE3835">
      <w:pPr>
        <w:pStyle w:val="Titstrnadpis"/>
      </w:pPr>
      <w:r>
        <w:t>ČESTNÉ PROHLÁŠENÍ</w:t>
      </w:r>
    </w:p>
    <w:p w14:paraId="31C44F20" w14:textId="77777777" w:rsidR="00FE3835" w:rsidRDefault="00E37354" w:rsidP="008859E2">
      <w:pPr>
        <w:jc w:val="center"/>
      </w:pPr>
      <w:r>
        <w:t>pro účely vyhodnocení kritéria „Úroveň zkušeností dodavatele“</w:t>
      </w:r>
      <w:r w:rsidR="008859E2">
        <w:br/>
      </w:r>
      <w:r w:rsidR="00FE3835">
        <w:t>v řízení pro zadání veřejné zakázky malého rozsahu s názvem</w:t>
      </w:r>
    </w:p>
    <w:p w14:paraId="531C54CB" w14:textId="77777777" w:rsidR="00225EE4" w:rsidRDefault="00C15707" w:rsidP="00E5282D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Studie proveditelnosti: VD Kamýk - </w:t>
      </w:r>
      <w:r w:rsidRPr="00C15707">
        <w:rPr>
          <w:rFonts w:cs="Arial"/>
          <w:b/>
          <w:szCs w:val="20"/>
        </w:rPr>
        <w:t>zabezpečení VD před účinky velkých vod</w:t>
      </w:r>
    </w:p>
    <w:p w14:paraId="00EDC53E" w14:textId="77777777" w:rsidR="00225EE4" w:rsidRDefault="00225EE4" w:rsidP="00FE3835">
      <w:pPr>
        <w:rPr>
          <w:rFonts w:cs="Arial"/>
          <w:b/>
          <w:szCs w:val="20"/>
        </w:rPr>
      </w:pPr>
    </w:p>
    <w:p w14:paraId="3CB498AA" w14:textId="77777777" w:rsidR="00FE3835" w:rsidRDefault="00FE3835" w:rsidP="00FE3835">
      <w:r w:rsidRPr="00FE3835">
        <w:t xml:space="preserve">Dodavatel </w:t>
      </w:r>
      <w:r w:rsidRPr="002B3D3A">
        <w:rPr>
          <w:highlight w:val="yellow"/>
        </w:rPr>
        <w:t>[doplnit firmu, sídlo a identifikační číslo]</w:t>
      </w:r>
      <w:r w:rsidRPr="00FE3835">
        <w:t xml:space="preserve">, za kterého jedná </w:t>
      </w:r>
      <w:r w:rsidRPr="002B3D3A">
        <w:rPr>
          <w:highlight w:val="yellow"/>
        </w:rPr>
        <w:t>[doplnit jméno osoby a její funkci]</w:t>
      </w:r>
      <w:r w:rsidRPr="00FE3835">
        <w:t xml:space="preserve">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14:paraId="775193FD" w14:textId="157075B6" w:rsidR="00C15707" w:rsidRDefault="00C15707" w:rsidP="00C15707">
      <w:r>
        <w:t xml:space="preserve">Dodavatel tímto čestně prohlašuje, že </w:t>
      </w:r>
      <w:r w:rsidR="00310B53">
        <w:t xml:space="preserve">poskytl </w:t>
      </w:r>
      <w:r>
        <w:t>dále uveden</w:t>
      </w:r>
      <w:r w:rsidR="00310B53">
        <w:t>é</w:t>
      </w:r>
      <w:r>
        <w:t xml:space="preserve"> referenční služb</w:t>
      </w:r>
      <w:r w:rsidR="00310B53">
        <w:t>y</w:t>
      </w:r>
      <w:r>
        <w:t xml:space="preserve">, jejichž předmětem bylo </w:t>
      </w:r>
      <w:r w:rsidR="00CA18D5">
        <w:t>zpracování</w:t>
      </w:r>
      <w:r w:rsidR="00CA18D5" w:rsidRPr="00D45E2C">
        <w:t xml:space="preserve"> </w:t>
      </w:r>
      <w:r w:rsidR="00CA18D5">
        <w:t xml:space="preserve">studie proveditelnosti </w:t>
      </w:r>
      <w:r w:rsidR="00CA18D5" w:rsidRPr="00D45E2C">
        <w:t>pro</w:t>
      </w:r>
      <w:r w:rsidR="00CA18D5">
        <w:t> </w:t>
      </w:r>
      <w:r w:rsidR="00CA18D5" w:rsidRPr="00D45E2C">
        <w:t>hydrotechnickou stavbu splňující níže uvedené podmínky</w:t>
      </w:r>
      <w:r>
        <w:t>:</w:t>
      </w:r>
    </w:p>
    <w:p w14:paraId="0FA73B3D" w14:textId="77777777" w:rsidR="00CA18D5" w:rsidRPr="00310B53" w:rsidRDefault="00CA18D5" w:rsidP="00310B53">
      <w:pPr>
        <w:pStyle w:val="Psm"/>
      </w:pPr>
      <w:r w:rsidRPr="00310B53">
        <w:t>studie proveditelnosti byla dokončena (protokolárně předána objednateli) nejpozději 10 let před zahájením řízení pro zadání veřejné zakázky malého rozsahu,</w:t>
      </w:r>
    </w:p>
    <w:p w14:paraId="1D983D0C" w14:textId="05E4E078" w:rsidR="00CA18D5" w:rsidRDefault="00CA18D5" w:rsidP="00CA18D5">
      <w:pPr>
        <w:pStyle w:val="Psm"/>
      </w:pPr>
      <w:r>
        <w:t xml:space="preserve">předmětem </w:t>
      </w:r>
      <w:r w:rsidR="00A65851">
        <w:t>s</w:t>
      </w:r>
      <w:r>
        <w:t>tudie proveditelnosti byla změna stavby vodního díla I. nebo II. kategorie ve smyslu vyhlášky č. 471/2001 Sb. v rozhodném znění, jejíž potřeba vznikla na základě Posudku bezpečnosti vodního díla při povodních (ČSN 75 29 35, dříve TNV 75 29 35) a jejíž součástí bylo zajištění bezpečného převedení kontrolní povodně, tedy zajištění dosažení vztahu, kdy mezní bezpečná hladina je vyšší než maximální kontrolní hladina (</w:t>
      </w:r>
      <w:bookmarkStart w:id="0" w:name="_GoBack"/>
      <w:bookmarkEnd w:id="0"/>
      <w:r w:rsidR="00F7269A">
        <w:t>ve smyslu ČSN </w:t>
      </w:r>
      <w:r w:rsidR="00F7269A" w:rsidRPr="004C2C4A">
        <w:t>75 29 35,</w:t>
      </w:r>
      <w:r w:rsidR="00F7269A">
        <w:t xml:space="preserve"> dříve </w:t>
      </w:r>
      <w:r>
        <w:t>TNV 75 29 35),</w:t>
      </w:r>
    </w:p>
    <w:p w14:paraId="746ABD70" w14:textId="77777777" w:rsidR="00CA18D5" w:rsidRDefault="00CA18D5" w:rsidP="00CA18D5">
      <w:pPr>
        <w:pStyle w:val="Psm"/>
      </w:pPr>
      <w:r>
        <w:t xml:space="preserve">součástí studie proveditelnosti bylo stanovení investičních a provozních nákladů pro studií řešené varianty, </w:t>
      </w:r>
    </w:p>
    <w:p w14:paraId="3DF267DA" w14:textId="77777777" w:rsidR="00C15707" w:rsidRDefault="00CA18D5" w:rsidP="00CA18D5">
      <w:pPr>
        <w:pStyle w:val="Psm"/>
      </w:pPr>
      <w:r>
        <w:t>předpokládané investiční náklady stavby dle kontrolního rozpočtu zpracovaného na základě alespoň jedné varianty obsažené ve studii proveditelnosti činily min. 30 mil. Kč bez DPH</w:t>
      </w:r>
    </w:p>
    <w:p w14:paraId="1786DAE8" w14:textId="77777777" w:rsidR="00C15707" w:rsidRDefault="00C15707" w:rsidP="00C15707">
      <w:pPr>
        <w:pStyle w:val="Nadpismimorovov"/>
      </w:pPr>
      <w:r>
        <w:lastRenderedPageBreak/>
        <w:t>Seznam referenčních služeb</w:t>
      </w:r>
      <w:r>
        <w:rPr>
          <w:rStyle w:val="Znakapoznpodarou"/>
        </w:rPr>
        <w:footnoteReference w:id="2"/>
      </w: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5529"/>
        <w:gridCol w:w="707"/>
      </w:tblGrid>
      <w:tr w:rsidR="00C15707" w14:paraId="58B19A98" w14:textId="77777777" w:rsidTr="00244F0F">
        <w:trPr>
          <w:trHeight w:val="567"/>
          <w:jc w:val="center"/>
        </w:trPr>
        <w:tc>
          <w:tcPr>
            <w:tcW w:w="2835" w:type="dxa"/>
            <w:vAlign w:val="center"/>
          </w:tcPr>
          <w:p w14:paraId="2B88BF6A" w14:textId="77777777" w:rsidR="00C15707" w:rsidRPr="00F85857" w:rsidRDefault="00C15707" w:rsidP="00244F0F">
            <w:pPr>
              <w:pStyle w:val="Tabulka"/>
              <w:keepNext/>
              <w:rPr>
                <w:highlight w:val="green"/>
              </w:rPr>
            </w:pPr>
            <w:r w:rsidRPr="00225EE4">
              <w:t>Název služby</w:t>
            </w:r>
            <w:r>
              <w:t>:</w:t>
            </w:r>
          </w:p>
        </w:tc>
        <w:tc>
          <w:tcPr>
            <w:tcW w:w="6236" w:type="dxa"/>
            <w:gridSpan w:val="2"/>
            <w:vAlign w:val="center"/>
          </w:tcPr>
          <w:p w14:paraId="382403C6" w14:textId="77777777" w:rsidR="00C15707" w:rsidRDefault="00C15707" w:rsidP="00244F0F">
            <w:pPr>
              <w:pStyle w:val="Tabulka"/>
              <w:keepNext/>
            </w:pPr>
          </w:p>
        </w:tc>
      </w:tr>
      <w:tr w:rsidR="00C15707" w14:paraId="325028E8" w14:textId="77777777" w:rsidTr="00244F0F">
        <w:trPr>
          <w:trHeight w:val="567"/>
          <w:jc w:val="center"/>
        </w:trPr>
        <w:tc>
          <w:tcPr>
            <w:tcW w:w="2835" w:type="dxa"/>
            <w:vMerge w:val="restart"/>
            <w:vAlign w:val="center"/>
          </w:tcPr>
          <w:p w14:paraId="3084A6FD" w14:textId="77777777" w:rsidR="00C15707" w:rsidRPr="000F7B13" w:rsidRDefault="00C15707" w:rsidP="00244F0F">
            <w:pPr>
              <w:pStyle w:val="Tabulka"/>
              <w:keepNext/>
            </w:pPr>
            <w:r>
              <w:t>Splnění stanovených podmínek:</w:t>
            </w:r>
            <w:r>
              <w:rPr>
                <w:rStyle w:val="Znakapoznpodarou"/>
              </w:rPr>
              <w:footnoteReference w:id="3"/>
            </w:r>
          </w:p>
        </w:tc>
        <w:tc>
          <w:tcPr>
            <w:tcW w:w="5529" w:type="dxa"/>
            <w:vAlign w:val="center"/>
          </w:tcPr>
          <w:p w14:paraId="6C0715B8" w14:textId="77777777" w:rsidR="00C15707" w:rsidRDefault="00CA18D5" w:rsidP="00244F0F">
            <w:pPr>
              <w:keepNext/>
              <w:spacing w:before="60" w:after="60"/>
              <w:rPr>
                <w:rFonts w:cs="Arial"/>
                <w:szCs w:val="20"/>
              </w:rPr>
            </w:pPr>
            <w:r>
              <w:t>studie proveditelnosti byla dokončena (protokolárně předána objednateli) nejpozději 10 let před zahájením řízení pro zadání veřejné zakázky malého rozsahu</w:t>
            </w:r>
          </w:p>
        </w:tc>
        <w:sdt>
          <w:sdtPr>
            <w:rPr>
              <w:rFonts w:cs="Arial"/>
              <w:szCs w:val="20"/>
            </w:rPr>
            <w:id w:val="-1825654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7" w:type="dxa"/>
                <w:vAlign w:val="center"/>
              </w:tcPr>
              <w:p w14:paraId="66D91D91" w14:textId="77777777" w:rsidR="00C15707" w:rsidRDefault="00C15707" w:rsidP="00244F0F">
                <w:pPr>
                  <w:keepNext/>
                  <w:spacing w:before="60" w:after="6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C15707" w14:paraId="319C638D" w14:textId="77777777" w:rsidTr="00244F0F">
        <w:trPr>
          <w:trHeight w:val="567"/>
          <w:jc w:val="center"/>
        </w:trPr>
        <w:tc>
          <w:tcPr>
            <w:tcW w:w="2835" w:type="dxa"/>
            <w:vMerge/>
            <w:vAlign w:val="center"/>
          </w:tcPr>
          <w:p w14:paraId="483E0EF8" w14:textId="77777777" w:rsidR="00C15707" w:rsidRDefault="00C15707" w:rsidP="00244F0F">
            <w:pPr>
              <w:pStyle w:val="Tabulka"/>
              <w:keepNext/>
            </w:pPr>
          </w:p>
        </w:tc>
        <w:tc>
          <w:tcPr>
            <w:tcW w:w="5529" w:type="dxa"/>
            <w:vAlign w:val="center"/>
          </w:tcPr>
          <w:p w14:paraId="0FD10CE6" w14:textId="106EE849" w:rsidR="00C15707" w:rsidRDefault="00CA18D5" w:rsidP="00F7269A">
            <w:pPr>
              <w:keepNext/>
              <w:spacing w:before="60" w:after="60"/>
              <w:rPr>
                <w:rFonts w:cs="Arial"/>
                <w:szCs w:val="20"/>
              </w:rPr>
            </w:pPr>
            <w:r>
              <w:t xml:space="preserve">předmětem </w:t>
            </w:r>
            <w:r w:rsidR="00F7269A">
              <w:t>s</w:t>
            </w:r>
            <w:r>
              <w:t xml:space="preserve">tudie proveditelnosti byla změna stavby vodního díla I. nebo II. </w:t>
            </w:r>
            <w:r w:rsidR="00F7269A">
              <w:t>kategorie ve smyslu vyhlášky č. </w:t>
            </w:r>
            <w:r>
              <w:t xml:space="preserve">471/2001 Sb. v rozhodném znění, jejíž potřeba vznikla na základě Posudku bezpečnosti vodního díla při povodních (ČSN 75 29 35, dříve TNV 75 29 35) a jejíž součástí bylo zajištění bezpečného převedení kontrolní povodně, tedy zajištění dosažení vztahu, kdy mezní bezpečná hladina je vyšší než maximální kontrolní hladina (ve smyslu </w:t>
            </w:r>
            <w:r w:rsidR="00F7269A">
              <w:t xml:space="preserve">ČSN 75 29 35, dříve </w:t>
            </w:r>
            <w:r>
              <w:t>TNV 75 29 35</w:t>
            </w:r>
          </w:p>
        </w:tc>
        <w:sdt>
          <w:sdtPr>
            <w:rPr>
              <w:rFonts w:cs="Arial"/>
              <w:szCs w:val="20"/>
            </w:rPr>
            <w:id w:val="-1899885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7" w:type="dxa"/>
                <w:vAlign w:val="center"/>
              </w:tcPr>
              <w:p w14:paraId="61E88DFF" w14:textId="77777777" w:rsidR="00C15707" w:rsidRDefault="00C15707" w:rsidP="00244F0F">
                <w:pPr>
                  <w:keepNext/>
                  <w:spacing w:before="60" w:after="6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C15707" w14:paraId="616125B5" w14:textId="77777777" w:rsidTr="00244F0F">
        <w:trPr>
          <w:trHeight w:val="567"/>
          <w:jc w:val="center"/>
        </w:trPr>
        <w:tc>
          <w:tcPr>
            <w:tcW w:w="2835" w:type="dxa"/>
            <w:vMerge/>
            <w:vAlign w:val="center"/>
          </w:tcPr>
          <w:p w14:paraId="57A3F1FC" w14:textId="77777777" w:rsidR="00C15707" w:rsidRDefault="00C15707" w:rsidP="00244F0F">
            <w:pPr>
              <w:pStyle w:val="Tabulka"/>
              <w:keepNext/>
            </w:pPr>
          </w:p>
        </w:tc>
        <w:tc>
          <w:tcPr>
            <w:tcW w:w="5529" w:type="dxa"/>
            <w:vAlign w:val="center"/>
          </w:tcPr>
          <w:p w14:paraId="4787419D" w14:textId="09D1FE95" w:rsidR="00C15707" w:rsidRDefault="00CA18D5" w:rsidP="00F7269A">
            <w:pPr>
              <w:keepNext/>
              <w:spacing w:before="60" w:after="60"/>
              <w:rPr>
                <w:rFonts w:cs="Arial"/>
                <w:szCs w:val="20"/>
              </w:rPr>
            </w:pPr>
            <w:r>
              <w:t>součástí studie proveditelnosti bylo stanovení investičních a</w:t>
            </w:r>
            <w:r w:rsidR="00F7269A">
              <w:t> </w:t>
            </w:r>
            <w:r>
              <w:t>provozních nákladů pro studií řešené varianty</w:t>
            </w:r>
          </w:p>
        </w:tc>
        <w:sdt>
          <w:sdtPr>
            <w:rPr>
              <w:rFonts w:cs="Arial"/>
              <w:szCs w:val="20"/>
            </w:rPr>
            <w:id w:val="1903326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7" w:type="dxa"/>
                <w:vAlign w:val="center"/>
              </w:tcPr>
              <w:p w14:paraId="2AED018C" w14:textId="77777777" w:rsidR="00C15707" w:rsidRDefault="00C15707" w:rsidP="00244F0F">
                <w:pPr>
                  <w:keepNext/>
                  <w:spacing w:before="60" w:after="6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C15707" w14:paraId="6F064BCB" w14:textId="77777777" w:rsidTr="00244F0F">
        <w:trPr>
          <w:trHeight w:val="567"/>
          <w:jc w:val="center"/>
        </w:trPr>
        <w:tc>
          <w:tcPr>
            <w:tcW w:w="2835" w:type="dxa"/>
            <w:vMerge/>
            <w:vAlign w:val="center"/>
          </w:tcPr>
          <w:p w14:paraId="66F08664" w14:textId="77777777" w:rsidR="00C15707" w:rsidRDefault="00C15707" w:rsidP="00244F0F">
            <w:pPr>
              <w:pStyle w:val="Tabulka"/>
              <w:keepNext/>
            </w:pPr>
          </w:p>
        </w:tc>
        <w:tc>
          <w:tcPr>
            <w:tcW w:w="5529" w:type="dxa"/>
            <w:vAlign w:val="center"/>
          </w:tcPr>
          <w:p w14:paraId="34608AE9" w14:textId="77777777" w:rsidR="00C15707" w:rsidRDefault="00CA18D5" w:rsidP="00244F0F">
            <w:pPr>
              <w:keepNext/>
              <w:spacing w:before="60" w:after="60"/>
              <w:rPr>
                <w:rFonts w:cs="Arial"/>
                <w:szCs w:val="20"/>
              </w:rPr>
            </w:pPr>
            <w:r>
              <w:t>předpokládané investiční náklady stavby dle kontrolního rozpočtu zpracovaného na základě alespoň jedné varianty obsažené ve studii proveditelnosti činily min. 30 mil. Kč bez DPH</w:t>
            </w:r>
          </w:p>
        </w:tc>
        <w:sdt>
          <w:sdtPr>
            <w:rPr>
              <w:rFonts w:cs="Arial"/>
              <w:szCs w:val="20"/>
            </w:rPr>
            <w:id w:val="1834258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7" w:type="dxa"/>
                <w:vAlign w:val="center"/>
              </w:tcPr>
              <w:p w14:paraId="76BDEBA7" w14:textId="77777777" w:rsidR="00C15707" w:rsidRDefault="00C15707" w:rsidP="00244F0F">
                <w:pPr>
                  <w:keepNext/>
                  <w:spacing w:before="60" w:after="6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C15707" w14:paraId="5E3CB427" w14:textId="77777777" w:rsidTr="00244F0F">
        <w:trPr>
          <w:trHeight w:val="1417"/>
          <w:jc w:val="center"/>
        </w:trPr>
        <w:tc>
          <w:tcPr>
            <w:tcW w:w="2835" w:type="dxa"/>
            <w:vAlign w:val="center"/>
          </w:tcPr>
          <w:p w14:paraId="5F969AC3" w14:textId="77777777" w:rsidR="00C15707" w:rsidRPr="00F85857" w:rsidRDefault="00C15707" w:rsidP="00244F0F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Pr="00225EE4">
              <w:t>b</w:t>
            </w:r>
            <w:r>
              <w:t>y:</w:t>
            </w:r>
          </w:p>
        </w:tc>
        <w:tc>
          <w:tcPr>
            <w:tcW w:w="6236" w:type="dxa"/>
            <w:gridSpan w:val="2"/>
            <w:vAlign w:val="center"/>
          </w:tcPr>
          <w:p w14:paraId="2FBC19F6" w14:textId="77777777" w:rsidR="00C15707" w:rsidRDefault="00C15707" w:rsidP="00244F0F">
            <w:pPr>
              <w:pStyle w:val="Bezmezer"/>
            </w:pPr>
          </w:p>
        </w:tc>
      </w:tr>
      <w:tr w:rsidR="00C15707" w14:paraId="55E50F8C" w14:textId="77777777" w:rsidTr="00244F0F">
        <w:trPr>
          <w:trHeight w:val="1417"/>
          <w:jc w:val="center"/>
        </w:trPr>
        <w:tc>
          <w:tcPr>
            <w:tcW w:w="2835" w:type="dxa"/>
            <w:vAlign w:val="center"/>
          </w:tcPr>
          <w:p w14:paraId="59D82870" w14:textId="77777777" w:rsidR="00C15707" w:rsidRDefault="00C15707" w:rsidP="00244F0F">
            <w:pPr>
              <w:pStyle w:val="Tabulka"/>
              <w:keepNext/>
            </w:pPr>
            <w:r>
              <w:t>Předpokládané investiční náklady stavby:</w:t>
            </w:r>
          </w:p>
        </w:tc>
        <w:tc>
          <w:tcPr>
            <w:tcW w:w="6236" w:type="dxa"/>
            <w:gridSpan w:val="2"/>
            <w:vAlign w:val="center"/>
          </w:tcPr>
          <w:p w14:paraId="54943C95" w14:textId="77777777" w:rsidR="00C15707" w:rsidRDefault="00C15707" w:rsidP="00244F0F">
            <w:pPr>
              <w:pStyle w:val="Bezmezer"/>
            </w:pPr>
          </w:p>
        </w:tc>
      </w:tr>
      <w:tr w:rsidR="00C15707" w14:paraId="443217D7" w14:textId="77777777" w:rsidTr="00244F0F">
        <w:trPr>
          <w:trHeight w:val="567"/>
          <w:jc w:val="center"/>
        </w:trPr>
        <w:tc>
          <w:tcPr>
            <w:tcW w:w="2835" w:type="dxa"/>
            <w:vAlign w:val="center"/>
          </w:tcPr>
          <w:p w14:paraId="4F924B85" w14:textId="77777777" w:rsidR="00C15707" w:rsidRPr="00484FE6" w:rsidRDefault="00C15707" w:rsidP="00244F0F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gridSpan w:val="2"/>
            <w:vAlign w:val="center"/>
          </w:tcPr>
          <w:p w14:paraId="3A68091B" w14:textId="77777777" w:rsidR="00C15707" w:rsidRDefault="00C15707" w:rsidP="00244F0F">
            <w:pPr>
              <w:pStyle w:val="Tabulka"/>
              <w:keepNext/>
            </w:pPr>
          </w:p>
        </w:tc>
      </w:tr>
      <w:tr w:rsidR="00C15707" w14:paraId="0F791DF4" w14:textId="77777777" w:rsidTr="00244F0F">
        <w:trPr>
          <w:trHeight w:val="567"/>
          <w:jc w:val="center"/>
        </w:trPr>
        <w:tc>
          <w:tcPr>
            <w:tcW w:w="2835" w:type="dxa"/>
            <w:vAlign w:val="center"/>
          </w:tcPr>
          <w:p w14:paraId="50C97470" w14:textId="77777777" w:rsidR="00C15707" w:rsidRPr="00484FE6" w:rsidRDefault="00C15707" w:rsidP="00244F0F">
            <w:pPr>
              <w:pStyle w:val="Tabulka"/>
              <w:keepNext/>
            </w:pPr>
            <w:r w:rsidRPr="00484FE6">
              <w:t>Doba realizace:</w:t>
            </w:r>
          </w:p>
        </w:tc>
        <w:tc>
          <w:tcPr>
            <w:tcW w:w="6236" w:type="dxa"/>
            <w:gridSpan w:val="2"/>
            <w:vAlign w:val="center"/>
          </w:tcPr>
          <w:p w14:paraId="5B84C4A7" w14:textId="77777777" w:rsidR="00C15707" w:rsidRDefault="00C15707" w:rsidP="00244F0F">
            <w:pPr>
              <w:pStyle w:val="Tabulka"/>
              <w:keepNext/>
            </w:pPr>
          </w:p>
        </w:tc>
      </w:tr>
      <w:tr w:rsidR="00C15707" w14:paraId="5A45ABB0" w14:textId="77777777" w:rsidTr="00244F0F">
        <w:trPr>
          <w:trHeight w:val="567"/>
          <w:jc w:val="center"/>
        </w:trPr>
        <w:tc>
          <w:tcPr>
            <w:tcW w:w="2835" w:type="dxa"/>
            <w:vAlign w:val="center"/>
          </w:tcPr>
          <w:p w14:paraId="347EC09B" w14:textId="77777777" w:rsidR="00C15707" w:rsidRPr="00484FE6" w:rsidRDefault="00C15707" w:rsidP="00244F0F">
            <w:pPr>
              <w:pStyle w:val="Tabulka"/>
              <w:keepNext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gridSpan w:val="2"/>
            <w:vAlign w:val="center"/>
          </w:tcPr>
          <w:p w14:paraId="7DAFBF2A" w14:textId="77777777" w:rsidR="00C15707" w:rsidRDefault="00C15707" w:rsidP="00244F0F">
            <w:pPr>
              <w:pStyle w:val="Tabulka"/>
              <w:keepNext/>
            </w:pPr>
          </w:p>
        </w:tc>
      </w:tr>
    </w:tbl>
    <w:p w14:paraId="3DD85B79" w14:textId="77777777" w:rsidR="00C15707" w:rsidRDefault="00C15707" w:rsidP="00C15707">
      <w:pPr>
        <w:pStyle w:val="Bezmezer"/>
      </w:pPr>
    </w:p>
    <w:p w14:paraId="303A174F" w14:textId="77777777" w:rsidR="00C15707" w:rsidRDefault="00C15707" w:rsidP="00C15707"/>
    <w:p w14:paraId="3F9D102F" w14:textId="77777777" w:rsidR="00252822" w:rsidRDefault="00252822" w:rsidP="00252822">
      <w:pPr>
        <w:pStyle w:val="Psm"/>
        <w:numPr>
          <w:ilvl w:val="0"/>
          <w:numId w:val="0"/>
        </w:numPr>
      </w:pPr>
    </w:p>
    <w:p w14:paraId="0782B6CA" w14:textId="77777777" w:rsidR="00252822" w:rsidRDefault="00252822" w:rsidP="00252822">
      <w:pPr>
        <w:pStyle w:val="Psm"/>
        <w:numPr>
          <w:ilvl w:val="0"/>
          <w:numId w:val="0"/>
        </w:numPr>
      </w:pPr>
    </w:p>
    <w:p w14:paraId="3CAB2372" w14:textId="77777777" w:rsidR="00627C0D" w:rsidRPr="00C73C9E" w:rsidRDefault="00627C0D" w:rsidP="00627C0D">
      <w:pPr>
        <w:pStyle w:val="Podpis1"/>
        <w:pBdr>
          <w:top w:val="dotted" w:sz="4" w:space="1" w:color="auto"/>
        </w:pBdr>
      </w:pPr>
      <w:r>
        <w:t>podpis osoby oprávněné jednat za dodavatele</w:t>
      </w:r>
    </w:p>
    <w:sectPr w:rsidR="00627C0D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85564" w14:textId="77777777" w:rsidR="00603520" w:rsidRDefault="00603520" w:rsidP="00544D40">
      <w:pPr>
        <w:spacing w:after="0"/>
      </w:pPr>
      <w:r>
        <w:separator/>
      </w:r>
    </w:p>
  </w:endnote>
  <w:endnote w:type="continuationSeparator" w:id="0">
    <w:p w14:paraId="302A02E1" w14:textId="77777777" w:rsidR="00603520" w:rsidRDefault="00603520" w:rsidP="00544D40">
      <w:pPr>
        <w:spacing w:after="0"/>
      </w:pPr>
      <w:r>
        <w:continuationSeparator/>
      </w:r>
    </w:p>
  </w:endnote>
  <w:endnote w:type="continuationNotice" w:id="1">
    <w:p w14:paraId="35A4CE7A" w14:textId="77777777" w:rsidR="00603520" w:rsidRDefault="0060352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DA556" w14:textId="77777777"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634BE9">
      <w:rPr>
        <w:noProof/>
      </w:rPr>
      <w:t>1</w:t>
    </w:r>
    <w:r w:rsidRPr="00534971">
      <w:fldChar w:fldCharType="end"/>
    </w:r>
    <w:r w:rsidRPr="00534971">
      <w:t xml:space="preserve"> z </w:t>
    </w:r>
    <w:r w:rsidR="00634BE9">
      <w:fldChar w:fldCharType="begin"/>
    </w:r>
    <w:r w:rsidR="00634BE9">
      <w:instrText>NUMPAGES  \* Arabic  \* MERGEFORMAT</w:instrText>
    </w:r>
    <w:r w:rsidR="00634BE9">
      <w:fldChar w:fldCharType="separate"/>
    </w:r>
    <w:r w:rsidR="00634BE9">
      <w:rPr>
        <w:noProof/>
      </w:rPr>
      <w:t>2</w:t>
    </w:r>
    <w:r w:rsidR="00634B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C5E4A" w14:textId="77777777" w:rsidR="00603520" w:rsidRDefault="00603520" w:rsidP="00544D40">
      <w:pPr>
        <w:spacing w:after="0"/>
      </w:pPr>
      <w:r>
        <w:separator/>
      </w:r>
    </w:p>
  </w:footnote>
  <w:footnote w:type="continuationSeparator" w:id="0">
    <w:p w14:paraId="672CF6A8" w14:textId="77777777" w:rsidR="00603520" w:rsidRDefault="00603520" w:rsidP="00544D40">
      <w:pPr>
        <w:spacing w:after="0"/>
      </w:pPr>
      <w:r>
        <w:continuationSeparator/>
      </w:r>
    </w:p>
  </w:footnote>
  <w:footnote w:type="continuationNotice" w:id="1">
    <w:p w14:paraId="60A44D6F" w14:textId="77777777" w:rsidR="00603520" w:rsidRDefault="00603520">
      <w:pPr>
        <w:spacing w:after="0"/>
      </w:pPr>
    </w:p>
  </w:footnote>
  <w:footnote w:id="2">
    <w:p w14:paraId="0C7BB1DF" w14:textId="77777777" w:rsidR="00C15707" w:rsidRDefault="00C15707" w:rsidP="00C15707">
      <w:pPr>
        <w:pStyle w:val="Textpoznpodarou"/>
      </w:pPr>
      <w:r>
        <w:rPr>
          <w:rStyle w:val="Znakapoznpodarou"/>
        </w:rPr>
        <w:footnoteRef/>
      </w:r>
      <w:r>
        <w:t xml:space="preserve"> Dodavatel uvede samostatnou tabulku pro každou referenční službu. </w:t>
      </w:r>
      <w:r>
        <w:rPr>
          <w:sz w:val="18"/>
        </w:rPr>
        <w:t>M</w:t>
      </w:r>
      <w:r w:rsidRPr="007D1F60">
        <w:rPr>
          <w:sz w:val="18"/>
        </w:rPr>
        <w:t>ax. počet hodno</w:t>
      </w:r>
      <w:r>
        <w:rPr>
          <w:sz w:val="18"/>
        </w:rPr>
        <w:t>cených referenčních služeb je 8.</w:t>
      </w:r>
      <w:r w:rsidRPr="007D1F60">
        <w:rPr>
          <w:sz w:val="18"/>
        </w:rPr>
        <w:t xml:space="preserve"> </w:t>
      </w:r>
      <w:r>
        <w:rPr>
          <w:sz w:val="18"/>
        </w:rPr>
        <w:t>S</w:t>
      </w:r>
      <w:r w:rsidRPr="007D1F60">
        <w:rPr>
          <w:sz w:val="18"/>
        </w:rPr>
        <w:t> výjimkou právního nástupnictví není možné uvádět referenční služby osob odlišných od dodavatele</w:t>
      </w:r>
      <w:r w:rsidR="00F7269A">
        <w:rPr>
          <w:sz w:val="18"/>
        </w:rPr>
        <w:t>.</w:t>
      </w:r>
    </w:p>
  </w:footnote>
  <w:footnote w:id="3">
    <w:p w14:paraId="0063693E" w14:textId="77777777" w:rsidR="00C15707" w:rsidRDefault="00C15707" w:rsidP="00C15707">
      <w:pPr>
        <w:pStyle w:val="Textpoznpodarou"/>
      </w:pPr>
      <w:r>
        <w:rPr>
          <w:rStyle w:val="Znakapoznpodarou"/>
        </w:rPr>
        <w:footnoteRef/>
      </w:r>
      <w:r>
        <w:t xml:space="preserve"> Pokud je podmínka splněna, dodavatel zaškrtne příslušné pole.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92FF7" w14:textId="77777777" w:rsidR="00D82FD6" w:rsidRPr="00534971" w:rsidRDefault="00C15707" w:rsidP="00534971">
    <w:pPr>
      <w:pStyle w:val="Zhlav"/>
    </w:pPr>
    <w:r w:rsidRPr="00C15707">
      <w:t>Studie proveditelnosti: VD Kamýk - zabezpečení VD před účinky velkých vod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DAE641E6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1553"/>
    <w:rsid w:val="000209A8"/>
    <w:rsid w:val="000233C5"/>
    <w:rsid w:val="00043562"/>
    <w:rsid w:val="000525DF"/>
    <w:rsid w:val="00052DD1"/>
    <w:rsid w:val="00054C63"/>
    <w:rsid w:val="00072DB2"/>
    <w:rsid w:val="00090784"/>
    <w:rsid w:val="000A03F4"/>
    <w:rsid w:val="000D1347"/>
    <w:rsid w:val="000D3394"/>
    <w:rsid w:val="000E5E9A"/>
    <w:rsid w:val="000F7B13"/>
    <w:rsid w:val="00110EDA"/>
    <w:rsid w:val="00121746"/>
    <w:rsid w:val="00135F92"/>
    <w:rsid w:val="00142F64"/>
    <w:rsid w:val="00170B06"/>
    <w:rsid w:val="001F2B22"/>
    <w:rsid w:val="001F3493"/>
    <w:rsid w:val="001F6B88"/>
    <w:rsid w:val="002104AD"/>
    <w:rsid w:val="0021091A"/>
    <w:rsid w:val="00225E7C"/>
    <w:rsid w:val="00225EE4"/>
    <w:rsid w:val="00230E0A"/>
    <w:rsid w:val="00232DA9"/>
    <w:rsid w:val="00252822"/>
    <w:rsid w:val="002572E0"/>
    <w:rsid w:val="00277346"/>
    <w:rsid w:val="002874FA"/>
    <w:rsid w:val="002B3D3A"/>
    <w:rsid w:val="002B65E5"/>
    <w:rsid w:val="0030588A"/>
    <w:rsid w:val="00310B53"/>
    <w:rsid w:val="0031616F"/>
    <w:rsid w:val="003777C6"/>
    <w:rsid w:val="003A5612"/>
    <w:rsid w:val="003A56AD"/>
    <w:rsid w:val="003C4623"/>
    <w:rsid w:val="003F10FD"/>
    <w:rsid w:val="00401677"/>
    <w:rsid w:val="00447328"/>
    <w:rsid w:val="004527ED"/>
    <w:rsid w:val="004559C5"/>
    <w:rsid w:val="00466C28"/>
    <w:rsid w:val="004719DA"/>
    <w:rsid w:val="00484FE6"/>
    <w:rsid w:val="004852ED"/>
    <w:rsid w:val="004A3BFE"/>
    <w:rsid w:val="004B0477"/>
    <w:rsid w:val="004B47B6"/>
    <w:rsid w:val="004E044C"/>
    <w:rsid w:val="0050409D"/>
    <w:rsid w:val="00506F55"/>
    <w:rsid w:val="00525CA6"/>
    <w:rsid w:val="00534971"/>
    <w:rsid w:val="00542E06"/>
    <w:rsid w:val="00544D40"/>
    <w:rsid w:val="00593E8F"/>
    <w:rsid w:val="005A501D"/>
    <w:rsid w:val="005B27C9"/>
    <w:rsid w:val="005D0BDB"/>
    <w:rsid w:val="005E339B"/>
    <w:rsid w:val="005E345C"/>
    <w:rsid w:val="005F668C"/>
    <w:rsid w:val="00603520"/>
    <w:rsid w:val="00627C0D"/>
    <w:rsid w:val="00634BE9"/>
    <w:rsid w:val="00643F08"/>
    <w:rsid w:val="006603D5"/>
    <w:rsid w:val="006A78AB"/>
    <w:rsid w:val="006C170A"/>
    <w:rsid w:val="006F4429"/>
    <w:rsid w:val="00717AB6"/>
    <w:rsid w:val="00720763"/>
    <w:rsid w:val="007624F5"/>
    <w:rsid w:val="007720BE"/>
    <w:rsid w:val="007749E3"/>
    <w:rsid w:val="007A6489"/>
    <w:rsid w:val="007B5210"/>
    <w:rsid w:val="007D1F60"/>
    <w:rsid w:val="007E5B49"/>
    <w:rsid w:val="0081414E"/>
    <w:rsid w:val="0086675F"/>
    <w:rsid w:val="008859E2"/>
    <w:rsid w:val="00895650"/>
    <w:rsid w:val="008B0744"/>
    <w:rsid w:val="008B3566"/>
    <w:rsid w:val="008D21D2"/>
    <w:rsid w:val="008E4C9A"/>
    <w:rsid w:val="009264D4"/>
    <w:rsid w:val="00951091"/>
    <w:rsid w:val="00960B2D"/>
    <w:rsid w:val="00973782"/>
    <w:rsid w:val="009831BD"/>
    <w:rsid w:val="009A072C"/>
    <w:rsid w:val="009A7F2F"/>
    <w:rsid w:val="009E6272"/>
    <w:rsid w:val="009F2AF7"/>
    <w:rsid w:val="00A06E3B"/>
    <w:rsid w:val="00A24FD5"/>
    <w:rsid w:val="00A34FD3"/>
    <w:rsid w:val="00A57F29"/>
    <w:rsid w:val="00A65851"/>
    <w:rsid w:val="00A66DC8"/>
    <w:rsid w:val="00AB6240"/>
    <w:rsid w:val="00AE0498"/>
    <w:rsid w:val="00AF52DE"/>
    <w:rsid w:val="00AF7EE5"/>
    <w:rsid w:val="00B0323A"/>
    <w:rsid w:val="00B12205"/>
    <w:rsid w:val="00B26D87"/>
    <w:rsid w:val="00B329EA"/>
    <w:rsid w:val="00B45C79"/>
    <w:rsid w:val="00B90CE0"/>
    <w:rsid w:val="00B97A79"/>
    <w:rsid w:val="00BA010D"/>
    <w:rsid w:val="00BB7234"/>
    <w:rsid w:val="00BC397C"/>
    <w:rsid w:val="00BC77B8"/>
    <w:rsid w:val="00C15707"/>
    <w:rsid w:val="00C31BD2"/>
    <w:rsid w:val="00C61018"/>
    <w:rsid w:val="00C705CC"/>
    <w:rsid w:val="00C73C9E"/>
    <w:rsid w:val="00C83D85"/>
    <w:rsid w:val="00CA18D5"/>
    <w:rsid w:val="00CE2222"/>
    <w:rsid w:val="00D6592F"/>
    <w:rsid w:val="00D82FD6"/>
    <w:rsid w:val="00DB12B9"/>
    <w:rsid w:val="00DF535C"/>
    <w:rsid w:val="00E107C9"/>
    <w:rsid w:val="00E37354"/>
    <w:rsid w:val="00E40375"/>
    <w:rsid w:val="00E5282D"/>
    <w:rsid w:val="00E57748"/>
    <w:rsid w:val="00E81FBC"/>
    <w:rsid w:val="00E96AF4"/>
    <w:rsid w:val="00EB3ACF"/>
    <w:rsid w:val="00EB62C4"/>
    <w:rsid w:val="00ED2470"/>
    <w:rsid w:val="00ED6C69"/>
    <w:rsid w:val="00EF4B7D"/>
    <w:rsid w:val="00F42CE0"/>
    <w:rsid w:val="00F466EA"/>
    <w:rsid w:val="00F7269A"/>
    <w:rsid w:val="00F85857"/>
    <w:rsid w:val="00F95309"/>
    <w:rsid w:val="00FA1E58"/>
    <w:rsid w:val="00FD106C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7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E37354"/>
    <w:pPr>
      <w:numPr>
        <w:ilvl w:val="3"/>
      </w:numPr>
      <w:ind w:left="284"/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E3735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0F7B1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0F7B13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0F7B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7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E37354"/>
    <w:pPr>
      <w:numPr>
        <w:ilvl w:val="3"/>
      </w:numPr>
      <w:ind w:left="284"/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E3735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0F7B1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0F7B13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0F7B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702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23E11-7C2D-412D-A165-8F7873014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4</cp:revision>
  <cp:lastPrinted>2017-09-06T06:48:00Z</cp:lastPrinted>
  <dcterms:created xsi:type="dcterms:W3CDTF">2018-02-13T10:41:00Z</dcterms:created>
  <dcterms:modified xsi:type="dcterms:W3CDTF">2018-02-14T13:22:00Z</dcterms:modified>
</cp:coreProperties>
</file>